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AC3" w:rsidRDefault="008F575B">
      <w:r w:rsidRPr="008F575B">
        <w:drawing>
          <wp:inline distT="0" distB="0" distL="0" distR="0">
            <wp:extent cx="10238132" cy="6679095"/>
            <wp:effectExtent l="19050" t="0" r="0" b="0"/>
            <wp:docPr id="1" name="Gra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0F0AC3" w:rsidSect="008F575B">
      <w:pgSz w:w="16838" w:h="11906" w:orient="landscape" w:code="9"/>
      <w:pgMar w:top="284" w:right="851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F575B"/>
    <w:rsid w:val="000F0AC3"/>
    <w:rsid w:val="003A3659"/>
    <w:rsid w:val="008F575B"/>
    <w:rsid w:val="009C45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F0AC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F57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F57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Users\m\Desktop\STATISTICA%20PER%20IL%20PRESIDE\STATISTICA%20STUDENTI%20LICEO%20%20%20%20%20%20%208%20-%20Copia%202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it-IT"/>
  <c:style val="42"/>
  <c:chart>
    <c:view3D>
      <c:rAngAx val="1"/>
    </c:view3D>
    <c:plotArea>
      <c:layout>
        <c:manualLayout>
          <c:layoutTarget val="inner"/>
          <c:xMode val="edge"/>
          <c:yMode val="edge"/>
          <c:x val="3.8867247111443091E-2"/>
          <c:y val="4.3684596896652293E-2"/>
          <c:w val="0.95759967531450685"/>
          <c:h val="0.81438662121257832"/>
        </c:manualLayout>
      </c:layout>
      <c:bar3DChart>
        <c:barDir val="col"/>
        <c:grouping val="clustered"/>
        <c:ser>
          <c:idx val="0"/>
          <c:order val="0"/>
          <c:tx>
            <c:strRef>
              <c:f>DATI!$A$4</c:f>
              <c:strCache>
                <c:ptCount val="1"/>
                <c:pt idx="0">
                  <c:v>Liceo Scientifico Trebisacce</c:v>
                </c:pt>
              </c:strCache>
            </c:strRef>
          </c:tx>
          <c:dLbls>
            <c:txPr>
              <a:bodyPr/>
              <a:lstStyle/>
              <a:p>
                <a:pPr>
                  <a:defRPr sz="1400"/>
                </a:pPr>
                <a:endParaRPr lang="it-IT"/>
              </a:p>
            </c:txPr>
            <c:showVal val="1"/>
          </c:dLbls>
          <c:cat>
            <c:strRef>
              <c:f>DATI!$B$3:$O$3</c:f>
              <c:strCache>
                <c:ptCount val="14"/>
                <c:pt idx="0">
                  <c:v>1997/98</c:v>
                </c:pt>
                <c:pt idx="1">
                  <c:v>1998/99</c:v>
                </c:pt>
                <c:pt idx="2">
                  <c:v>1999/00</c:v>
                </c:pt>
                <c:pt idx="3">
                  <c:v>2000/01</c:v>
                </c:pt>
                <c:pt idx="4">
                  <c:v>2001/02</c:v>
                </c:pt>
                <c:pt idx="5">
                  <c:v>2002/03</c:v>
                </c:pt>
                <c:pt idx="6">
                  <c:v>2003/04</c:v>
                </c:pt>
                <c:pt idx="7">
                  <c:v>2004/05</c:v>
                </c:pt>
                <c:pt idx="8">
                  <c:v>2005/06</c:v>
                </c:pt>
                <c:pt idx="9">
                  <c:v>2006/07</c:v>
                </c:pt>
                <c:pt idx="10">
                  <c:v>2007/08</c:v>
                </c:pt>
                <c:pt idx="11">
                  <c:v>2008/09</c:v>
                </c:pt>
                <c:pt idx="12">
                  <c:v>2009/10</c:v>
                </c:pt>
                <c:pt idx="13">
                  <c:v>2010/11</c:v>
                </c:pt>
              </c:strCache>
            </c:strRef>
          </c:cat>
          <c:val>
            <c:numRef>
              <c:f>DATI!$B$4:$O$4</c:f>
              <c:numCache>
                <c:formatCode>General</c:formatCode>
                <c:ptCount val="14"/>
                <c:pt idx="0">
                  <c:v>288</c:v>
                </c:pt>
                <c:pt idx="1">
                  <c:v>288</c:v>
                </c:pt>
                <c:pt idx="2">
                  <c:v>313</c:v>
                </c:pt>
                <c:pt idx="3">
                  <c:v>321</c:v>
                </c:pt>
                <c:pt idx="4">
                  <c:v>310</c:v>
                </c:pt>
                <c:pt idx="5">
                  <c:v>330</c:v>
                </c:pt>
                <c:pt idx="6">
                  <c:v>353</c:v>
                </c:pt>
                <c:pt idx="7">
                  <c:v>365</c:v>
                </c:pt>
                <c:pt idx="8">
                  <c:v>369</c:v>
                </c:pt>
                <c:pt idx="9">
                  <c:v>376</c:v>
                </c:pt>
                <c:pt idx="10">
                  <c:v>363</c:v>
                </c:pt>
                <c:pt idx="11">
                  <c:v>355</c:v>
                </c:pt>
                <c:pt idx="12">
                  <c:v>347</c:v>
                </c:pt>
                <c:pt idx="13">
                  <c:v>344</c:v>
                </c:pt>
              </c:numCache>
            </c:numRef>
          </c:val>
        </c:ser>
        <c:ser>
          <c:idx val="1"/>
          <c:order val="1"/>
          <c:tx>
            <c:strRef>
              <c:f>DATI!$A$5</c:f>
              <c:strCache>
                <c:ptCount val="1"/>
                <c:pt idx="0">
                  <c:v>Liceo Classico Trebisacce</c:v>
                </c:pt>
              </c:strCache>
            </c:strRef>
          </c:tx>
          <c:dLbls>
            <c:txPr>
              <a:bodyPr/>
              <a:lstStyle/>
              <a:p>
                <a:pPr>
                  <a:defRPr sz="1400" b="0"/>
                </a:pPr>
                <a:endParaRPr lang="it-IT"/>
              </a:p>
            </c:txPr>
            <c:showVal val="1"/>
          </c:dLbls>
          <c:cat>
            <c:strRef>
              <c:f>DATI!$B$3:$O$3</c:f>
              <c:strCache>
                <c:ptCount val="14"/>
                <c:pt idx="0">
                  <c:v>1997/98</c:v>
                </c:pt>
                <c:pt idx="1">
                  <c:v>1998/99</c:v>
                </c:pt>
                <c:pt idx="2">
                  <c:v>1999/00</c:v>
                </c:pt>
                <c:pt idx="3">
                  <c:v>2000/01</c:v>
                </c:pt>
                <c:pt idx="4">
                  <c:v>2001/02</c:v>
                </c:pt>
                <c:pt idx="5">
                  <c:v>2002/03</c:v>
                </c:pt>
                <c:pt idx="6">
                  <c:v>2003/04</c:v>
                </c:pt>
                <c:pt idx="7">
                  <c:v>2004/05</c:v>
                </c:pt>
                <c:pt idx="8">
                  <c:v>2005/06</c:v>
                </c:pt>
                <c:pt idx="9">
                  <c:v>2006/07</c:v>
                </c:pt>
                <c:pt idx="10">
                  <c:v>2007/08</c:v>
                </c:pt>
                <c:pt idx="11">
                  <c:v>2008/09</c:v>
                </c:pt>
                <c:pt idx="12">
                  <c:v>2009/10</c:v>
                </c:pt>
                <c:pt idx="13">
                  <c:v>2010/11</c:v>
                </c:pt>
              </c:strCache>
            </c:strRef>
          </c:cat>
          <c:val>
            <c:numRef>
              <c:f>DATI!$B$5:$O$5</c:f>
              <c:numCache>
                <c:formatCode>General</c:formatCode>
                <c:ptCount val="14"/>
                <c:pt idx="0">
                  <c:v>197</c:v>
                </c:pt>
                <c:pt idx="1">
                  <c:v>190</c:v>
                </c:pt>
                <c:pt idx="2">
                  <c:v>174</c:v>
                </c:pt>
                <c:pt idx="3">
                  <c:v>174</c:v>
                </c:pt>
                <c:pt idx="4">
                  <c:v>167</c:v>
                </c:pt>
                <c:pt idx="5">
                  <c:v>156</c:v>
                </c:pt>
                <c:pt idx="6">
                  <c:v>141</c:v>
                </c:pt>
                <c:pt idx="7">
                  <c:v>125</c:v>
                </c:pt>
                <c:pt idx="8">
                  <c:v>113</c:v>
                </c:pt>
                <c:pt idx="9">
                  <c:v>121</c:v>
                </c:pt>
                <c:pt idx="10">
                  <c:v>136</c:v>
                </c:pt>
                <c:pt idx="11">
                  <c:v>140</c:v>
                </c:pt>
                <c:pt idx="12">
                  <c:v>152</c:v>
                </c:pt>
                <c:pt idx="13">
                  <c:v>168</c:v>
                </c:pt>
              </c:numCache>
            </c:numRef>
          </c:val>
        </c:ser>
        <c:ser>
          <c:idx val="2"/>
          <c:order val="2"/>
          <c:tx>
            <c:strRef>
              <c:f>DATI!$A$6</c:f>
              <c:strCache>
                <c:ptCount val="1"/>
                <c:pt idx="0">
                  <c:v>Liceo Classico Oriolo</c:v>
                </c:pt>
              </c:strCache>
            </c:strRef>
          </c:tx>
          <c:dLbls>
            <c:txPr>
              <a:bodyPr/>
              <a:lstStyle/>
              <a:p>
                <a:pPr>
                  <a:defRPr sz="1400" b="0"/>
                </a:pPr>
                <a:endParaRPr lang="it-IT"/>
              </a:p>
            </c:txPr>
            <c:showVal val="1"/>
          </c:dLbls>
          <c:cat>
            <c:strRef>
              <c:f>DATI!$B$3:$O$3</c:f>
              <c:strCache>
                <c:ptCount val="14"/>
                <c:pt idx="0">
                  <c:v>1997/98</c:v>
                </c:pt>
                <c:pt idx="1">
                  <c:v>1998/99</c:v>
                </c:pt>
                <c:pt idx="2">
                  <c:v>1999/00</c:v>
                </c:pt>
                <c:pt idx="3">
                  <c:v>2000/01</c:v>
                </c:pt>
                <c:pt idx="4">
                  <c:v>2001/02</c:v>
                </c:pt>
                <c:pt idx="5">
                  <c:v>2002/03</c:v>
                </c:pt>
                <c:pt idx="6">
                  <c:v>2003/04</c:v>
                </c:pt>
                <c:pt idx="7">
                  <c:v>2004/05</c:v>
                </c:pt>
                <c:pt idx="8">
                  <c:v>2005/06</c:v>
                </c:pt>
                <c:pt idx="9">
                  <c:v>2006/07</c:v>
                </c:pt>
                <c:pt idx="10">
                  <c:v>2007/08</c:v>
                </c:pt>
                <c:pt idx="11">
                  <c:v>2008/09</c:v>
                </c:pt>
                <c:pt idx="12">
                  <c:v>2009/10</c:v>
                </c:pt>
                <c:pt idx="13">
                  <c:v>2010/11</c:v>
                </c:pt>
              </c:strCache>
            </c:strRef>
          </c:cat>
          <c:val>
            <c:numRef>
              <c:f>DATI!$B$6:$O$6</c:f>
              <c:numCache>
                <c:formatCode>General</c:formatCode>
                <c:ptCount val="14"/>
                <c:pt idx="0">
                  <c:v>95</c:v>
                </c:pt>
                <c:pt idx="1">
                  <c:v>90</c:v>
                </c:pt>
                <c:pt idx="2">
                  <c:v>92</c:v>
                </c:pt>
                <c:pt idx="3">
                  <c:v>88</c:v>
                </c:pt>
                <c:pt idx="4">
                  <c:v>70</c:v>
                </c:pt>
                <c:pt idx="5">
                  <c:v>64</c:v>
                </c:pt>
                <c:pt idx="6">
                  <c:v>65</c:v>
                </c:pt>
                <c:pt idx="7">
                  <c:v>62</c:v>
                </c:pt>
                <c:pt idx="8">
                  <c:v>55</c:v>
                </c:pt>
                <c:pt idx="9">
                  <c:v>59</c:v>
                </c:pt>
                <c:pt idx="10">
                  <c:v>56</c:v>
                </c:pt>
                <c:pt idx="11">
                  <c:v>56</c:v>
                </c:pt>
                <c:pt idx="12">
                  <c:v>56</c:v>
                </c:pt>
                <c:pt idx="13">
                  <c:v>58</c:v>
                </c:pt>
              </c:numCache>
            </c:numRef>
          </c:val>
        </c:ser>
        <c:gapWidth val="100"/>
        <c:gapDepth val="500"/>
        <c:shape val="box"/>
        <c:axId val="88806528"/>
        <c:axId val="88808064"/>
        <c:axId val="0"/>
      </c:bar3DChart>
      <c:catAx>
        <c:axId val="88806528"/>
        <c:scaling>
          <c:orientation val="minMax"/>
        </c:scaling>
        <c:axPos val="b"/>
        <c:tickLblPos val="nextTo"/>
        <c:crossAx val="88808064"/>
        <c:crosses val="autoZero"/>
        <c:auto val="1"/>
        <c:lblAlgn val="ctr"/>
        <c:lblOffset val="100"/>
      </c:catAx>
      <c:valAx>
        <c:axId val="88808064"/>
        <c:scaling>
          <c:orientation val="minMax"/>
        </c:scaling>
        <c:axPos val="l"/>
        <c:numFmt formatCode="General" sourceLinked="1"/>
        <c:tickLblPos val="nextTo"/>
        <c:crossAx val="8880652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2.2545644660813872E-2"/>
          <c:y val="0.9423064764860466"/>
          <c:w val="0.96323293796785459"/>
          <c:h val="5.6095468237306288E-2"/>
        </c:manualLayout>
      </c:layout>
    </c:legend>
    <c:plotVisOnly val="1"/>
  </c:chart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0.19402</cdr:x>
      <cdr:y>0</cdr:y>
    </cdr:from>
    <cdr:to>
      <cdr:x>0.75337</cdr:x>
      <cdr:y>0.0719</cdr:y>
    </cdr:to>
    <cdr:sp macro="" textlink="">
      <cdr:nvSpPr>
        <cdr:cNvPr id="3" name="CasellaDiTesto 2"/>
        <cdr:cNvSpPr txBox="1"/>
      </cdr:nvSpPr>
      <cdr:spPr>
        <a:xfrm xmlns:a="http://schemas.openxmlformats.org/drawingml/2006/main">
          <a:off x="1771650" y="0"/>
          <a:ext cx="5107617" cy="37414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wrap="square" rtlCol="0" anchor="t">
          <a:spAutoFit/>
        </a:bodyPr>
        <a:lstStyle xmlns:a="http://schemas.openxmlformats.org/drawingml/2006/main">
          <a:lvl1pPr marL="0" indent="0">
            <a:defRPr sz="1100">
              <a:solidFill>
                <a:sysClr val="windowText" lastClr="000000"/>
              </a:solidFill>
              <a:latin typeface="Calibri"/>
            </a:defRPr>
          </a:lvl1pPr>
          <a:lvl2pPr marL="457200" indent="0">
            <a:defRPr sz="1100">
              <a:solidFill>
                <a:sysClr val="windowText" lastClr="000000"/>
              </a:solidFill>
              <a:latin typeface="Calibri"/>
            </a:defRPr>
          </a:lvl2pPr>
          <a:lvl3pPr marL="914400" indent="0">
            <a:defRPr sz="1100">
              <a:solidFill>
                <a:sysClr val="windowText" lastClr="000000"/>
              </a:solidFill>
              <a:latin typeface="Calibri"/>
            </a:defRPr>
          </a:lvl3pPr>
          <a:lvl4pPr marL="1371600" indent="0">
            <a:defRPr sz="1100">
              <a:solidFill>
                <a:sysClr val="windowText" lastClr="000000"/>
              </a:solidFill>
              <a:latin typeface="Calibri"/>
            </a:defRPr>
          </a:lvl4pPr>
          <a:lvl5pPr marL="1828800" indent="0">
            <a:defRPr sz="1100">
              <a:solidFill>
                <a:sysClr val="windowText" lastClr="000000"/>
              </a:solidFill>
              <a:latin typeface="Calibri"/>
            </a:defRPr>
          </a:lvl5pPr>
          <a:lvl6pPr marL="2286000" indent="0">
            <a:defRPr sz="1100">
              <a:solidFill>
                <a:sysClr val="windowText" lastClr="000000"/>
              </a:solidFill>
              <a:latin typeface="Calibri"/>
            </a:defRPr>
          </a:lvl6pPr>
          <a:lvl7pPr marL="2743200" indent="0">
            <a:defRPr sz="1100">
              <a:solidFill>
                <a:sysClr val="windowText" lastClr="000000"/>
              </a:solidFill>
              <a:latin typeface="Calibri"/>
            </a:defRPr>
          </a:lvl7pPr>
          <a:lvl8pPr marL="3200400" indent="0">
            <a:defRPr sz="1100">
              <a:solidFill>
                <a:sysClr val="windowText" lastClr="000000"/>
              </a:solidFill>
              <a:latin typeface="Calibri"/>
            </a:defRPr>
          </a:lvl8pPr>
          <a:lvl9pPr marL="3657600" indent="0">
            <a:defRPr sz="1100">
              <a:solidFill>
                <a:sysClr val="windowText" lastClr="000000"/>
              </a:solidFill>
              <a:latin typeface="Calibri"/>
            </a:defRPr>
          </a:lvl9pPr>
        </a:lstStyle>
        <a:p xmlns:a="http://schemas.openxmlformats.org/drawingml/2006/main">
          <a:r>
            <a:rPr lang="it-IT" sz="1800" spc="100" baseline="0"/>
            <a:t>ALUNNI DEL LICEO SCIENTIFICO DI TREBISACCE</a:t>
          </a:r>
        </a:p>
      </cdr:txBody>
    </cdr:sp>
  </cdr:relSizeAnchor>
</c:userShape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</cp:lastModifiedBy>
  <cp:revision>3</cp:revision>
  <dcterms:created xsi:type="dcterms:W3CDTF">2010-09-25T14:22:00Z</dcterms:created>
  <dcterms:modified xsi:type="dcterms:W3CDTF">2010-09-25T14:44:00Z</dcterms:modified>
</cp:coreProperties>
</file>